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MANUAL DE COBRO DE CARTERA</w:t>
      </w:r>
    </w:p>
    <w:p>
      <w:pPr>
        <w:jc w:val="center"/>
      </w:pPr>
      <w:r>
        <w:rPr>
          <w:b w:val="0"/>
        </w:rPr>
        <w:t>[Nombre del edificio o conjunto] – Propiedad horizontal · NIT [número]</w:t>
      </w:r>
    </w:p>
    <w:p>
      <w:pPr>
        <w:jc w:val="center"/>
      </w:pPr>
      <w:r>
        <w:rPr>
          <w:b w:val="0"/>
        </w:rPr>
        <w:t>Versión [1.0] · Aprobado por [el consejo de administración / la asamblea] el [fecha]</w:t>
      </w:r>
    </w:p>
    <w:p/>
    <w:p>
      <w:r>
        <w:rPr>
          <w:b/>
        </w:rPr>
        <w:t>1. Objeto</w:t>
      </w:r>
    </w:p>
    <w:p>
      <w:r>
        <w:rPr>
          <w:b w:val="0"/>
        </w:rPr>
        <w:t>Fijar por escrito cómo se cobran las cuotas de administración, quién hace cada paso y en qué plazo, para que el cobro sea igual para todas las unidades y no dependa de quién esté en la administración. Aplica a cuotas ordinarias, extraordinarias, intereses de mora, multas y sanciones aprobadas.</w:t>
      </w:r>
    </w:p>
    <w:p>
      <w:r>
        <w:rPr>
          <w:b/>
        </w:rPr>
        <w:t>2. Normas que se aplican</w:t>
      </w:r>
    </w:p>
    <w:p>
      <w:r>
        <w:rPr>
          <w:b w:val="0"/>
        </w:rPr>
        <w:t>El reglamento de propiedad horizontal de la copropiedad y las decisiones de la asamblea.</w:t>
      </w:r>
    </w:p>
    <w:p>
      <w:r>
        <w:rPr>
          <w:b w:val="0"/>
        </w:rPr>
        <w:t>Ley 675 de 2001, artículo 30: el retardo en el pago de expensas causa intereses de mora equivalentes a una y media veces el interés bancario corriente certificado, salvo que la asamblea establezca un interés inferior. Artículo 48: en el proceso ejecutivo, el título ejecutivo es el certificado expedido por el administrador.</w:t>
      </w:r>
    </w:p>
    <w:p>
      <w:r>
        <w:rPr>
          <w:b w:val="0"/>
        </w:rPr>
        <w:t>Ley 2300 de 2023: canales autorizados, horarios y periodicidad del contacto de cobranza (sección 7).</w:t>
      </w:r>
    </w:p>
    <w:p>
      <w:r>
        <w:rPr>
          <w:b/>
        </w:rPr>
        <w:t>3. Responsables</w:t>
      </w:r>
    </w:p>
    <w:p>
      <w:r>
        <w:rPr>
          <w:b w:val="0"/>
        </w:rPr>
        <w:t>Administrador(a): emite los cobros, firma las cartas y los certificados de deuda, propone los acuerdos de pago y presenta el informe de cartera.</w:t>
      </w:r>
    </w:p>
    <w:p>
      <w:r>
        <w:rPr>
          <w:b w:val="0"/>
        </w:rPr>
        <w:t>Contador(a): liquida cuotas, intereses y abonos, y entrega cada mes el estado de cuenta por unidad y la cartera por edades.</w:t>
      </w:r>
    </w:p>
    <w:p>
      <w:r>
        <w:rPr>
          <w:b w:val="0"/>
        </w:rPr>
        <w:t>Consejo de administración: aprueba los acuerdos de pago fuera de esta política y el paso a la etapa jurídica.</w:t>
      </w:r>
    </w:p>
    <w:p>
      <w:r>
        <w:rPr>
          <w:b w:val="0"/>
        </w:rPr>
        <w:t>Abogado(a) externo(a): adelanta la etapa jurídica y reporta su avance [mensualmente].</w:t>
      </w:r>
    </w:p>
    <w:p>
      <w:r>
        <w:rPr>
          <w:b/>
        </w:rPr>
        <w:t>4. Causación y vencimiento</w:t>
      </w:r>
    </w:p>
    <w:p>
      <w:r>
        <w:rPr>
          <w:b w:val="0"/>
        </w:rPr>
        <w:t>La cuota de cada mes se causa el día [1] y se paga sin intereses hasta el día [10]. Desde el día [11] la unidad está en mora y se liquidan intereses sobre la cuota no pagada.</w:t>
      </w:r>
    </w:p>
    <w:p>
      <w:r>
        <w:rPr>
          <w:b w:val="0"/>
        </w:rPr>
        <w:t>El abono se aplica [primero a intereses y después a las cuotas más antiguas / en el orden que fije el reglamento]. Cada pago se registra el día que se identifica y se confirma al propietario(a).</w:t>
      </w:r>
    </w:p>
    <w:p>
      <w:r>
        <w:rPr>
          <w:b/>
        </w:rPr>
        <w:t>5. Etapas del cobro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Etapa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Cuándo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Qué se hace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Quién</w:t>
            </w:r>
          </w:p>
        </w:tc>
      </w:tr>
      <w:tr>
        <w:tc>
          <w:tcPr>
            <w:tcW w:type="dxa" w:w="2160"/>
          </w:tcPr>
          <w:p>
            <w:r>
              <w:t>Preventiva</w:t>
            </w:r>
          </w:p>
        </w:tc>
        <w:tc>
          <w:tcPr>
            <w:tcW w:type="dxa" w:w="2160"/>
          </w:tcPr>
          <w:p>
            <w:r>
              <w:t>Del día 1 al [10] del mes</w:t>
            </w:r>
          </w:p>
        </w:tc>
        <w:tc>
          <w:tcPr>
            <w:tcW w:type="dxa" w:w="2160"/>
          </w:tcPr>
          <w:p>
            <w:r>
              <w:t>Cuenta de cobro o recordatorio con el valor, la fecha límite y los datos de pago.</w:t>
            </w:r>
          </w:p>
        </w:tc>
        <w:tc>
          <w:tcPr>
            <w:tcW w:type="dxa" w:w="2160"/>
          </w:tcPr>
          <w:p>
            <w:r>
              <w:t>Administración</w:t>
            </w:r>
          </w:p>
        </w:tc>
      </w:tr>
      <w:tr>
        <w:tc>
          <w:tcPr>
            <w:tcW w:type="dxa" w:w="2160"/>
          </w:tcPr>
          <w:p>
            <w:r>
              <w:t>Persuasiva</w:t>
            </w:r>
          </w:p>
        </w:tc>
        <w:tc>
          <w:tcPr>
            <w:tcW w:type="dxa" w:w="2160"/>
          </w:tcPr>
          <w:p>
            <w:r>
              <w:t>De 1 a [60] días de mora</w:t>
            </w:r>
          </w:p>
        </w:tc>
        <w:tc>
          <w:tcPr>
            <w:tcW w:type="dxa" w:w="2160"/>
          </w:tcPr>
          <w:p>
            <w:r>
              <w:t>Recordatorio al día [5] de mora; carta de cobro de cuotas de administración con estado de cuenta al día [30]; llamada o mensaje para proponer acuerdo de pago al día [45].</w:t>
            </w:r>
          </w:p>
        </w:tc>
        <w:tc>
          <w:tcPr>
            <w:tcW w:type="dxa" w:w="2160"/>
          </w:tcPr>
          <w:p>
            <w:r>
              <w:t>Administración</w:t>
            </w:r>
          </w:p>
        </w:tc>
      </w:tr>
      <w:tr>
        <w:tc>
          <w:tcPr>
            <w:tcW w:type="dxa" w:w="2160"/>
          </w:tcPr>
          <w:p>
            <w:r>
              <w:t>Prejurídica</w:t>
            </w:r>
          </w:p>
        </w:tc>
        <w:tc>
          <w:tcPr>
            <w:tcW w:type="dxa" w:w="2160"/>
          </w:tcPr>
          <w:p>
            <w:r>
              <w:t>De [61] a [90] días de mora</w:t>
            </w:r>
          </w:p>
        </w:tc>
        <w:tc>
          <w:tcPr>
            <w:tcW w:type="dxa" w:w="2160"/>
          </w:tcPr>
          <w:p>
            <w:r>
              <w:t>Carta de cobro prejurídico con saldo detallado y plazo de [10] días para pagar o acordar.</w:t>
            </w:r>
          </w:p>
        </w:tc>
        <w:tc>
          <w:tcPr>
            <w:tcW w:type="dxa" w:w="2160"/>
          </w:tcPr>
          <w:p>
            <w:r>
              <w:t>Administración o abogado(a)</w:t>
            </w:r>
          </w:p>
        </w:tc>
      </w:tr>
      <w:tr>
        <w:tc>
          <w:tcPr>
            <w:tcW w:type="dxa" w:w="2160"/>
          </w:tcPr>
          <w:p>
            <w:r>
              <w:t>Jurídica</w:t>
            </w:r>
          </w:p>
        </w:tc>
        <w:tc>
          <w:tcPr>
            <w:tcW w:type="dxa" w:w="2160"/>
          </w:tcPr>
          <w:p>
            <w:r>
              <w:t>Más de [90] días de mora, con aprobación del consejo</w:t>
            </w:r>
          </w:p>
        </w:tc>
        <w:tc>
          <w:tcPr>
            <w:tcW w:type="dxa" w:w="2160"/>
          </w:tcPr>
          <w:p>
            <w:r>
              <w:t>Certificado de deuda del administrador y entrega del caso al abogado(a) para el proceso ejecutivo.</w:t>
            </w:r>
          </w:p>
        </w:tc>
        <w:tc>
          <w:tcPr>
            <w:tcW w:type="dxa" w:w="2160"/>
          </w:tcPr>
          <w:p>
            <w:r>
              <w:t>Abogado(a)</w:t>
            </w:r>
          </w:p>
        </w:tc>
      </w:tr>
    </w:tbl>
    <w:p/>
    <w:p>
      <w:r>
        <w:rPr>
          <w:b/>
        </w:rPr>
        <w:t>6. Acuerdos de pago</w:t>
      </w:r>
    </w:p>
    <w:p>
      <w:r>
        <w:rPr>
          <w:b w:val="0"/>
        </w:rPr>
        <w:t>Se ofrecen desde la etapa persuasiva. Condiciones: abono inicial de al menos [20] % del saldo, plazo máximo de [6] meses, y la cuota del mes en curso se paga aparte, al día.</w:t>
      </w:r>
    </w:p>
    <w:p>
      <w:r>
        <w:rPr>
          <w:b w:val="0"/>
        </w:rPr>
        <w:t>El acuerdo se firma por escrito y se registra con sus fechas. Si se incumplen [dos] cuotas del acuerdo, el cobro sigue en la etapa donde estaba.</w:t>
      </w:r>
    </w:p>
    <w:p>
      <w:r>
        <w:rPr>
          <w:b w:val="0"/>
        </w:rPr>
        <w:t>Un acuerdo que se salga de estas condiciones lo aprueba el consejo de administración.</w:t>
      </w:r>
    </w:p>
    <w:p>
      <w:r>
        <w:rPr>
          <w:b/>
        </w:rPr>
        <w:t>7. Canales, horarios y frecuencia del contacto</w:t>
      </w:r>
    </w:p>
    <w:p>
      <w:r>
        <w:rPr>
          <w:b w:val="0"/>
        </w:rPr>
        <w:t>Sólo se contacta por los canales que el propietario(a) autorizó para la cobranza, registrados en su ficha.</w:t>
      </w:r>
    </w:p>
    <w:p>
      <w:r>
        <w:rPr>
          <w:b w:val="0"/>
        </w:rPr>
        <w:t>Horario: lunes a viernes de 7:00 a. m. a 7:00 p. m. y sábados de 8:00 a. m. a 3:00 p. m. Nunca domingos ni festivos.</w:t>
      </w:r>
    </w:p>
    <w:p>
      <w:r>
        <w:rPr>
          <w:b w:val="0"/>
        </w:rPr>
        <w:t>Una vez hay contacto directo con la persona, no se le contacta más de una vez el mismo día ni por varios canales dentro de la misma semana.</w:t>
      </w:r>
    </w:p>
    <w:p>
      <w:r>
        <w:rPr>
          <w:b w:val="0"/>
        </w:rPr>
        <w:t>No se contacta a referencias ni a familiares, no se hacen visitas de cobranza al domicilio ni al lugar de trabajo, y no se pregunta el motivo del incumplimiento; sí se pueden consultar alternativas de pago acordes con su situación.</w:t>
      </w:r>
    </w:p>
    <w:p>
      <w:r>
        <w:rPr>
          <w:b w:val="0"/>
        </w:rPr>
        <w:t>No se exhibe a nadie en carteleras, ascensores ni grupos de residentes.</w:t>
      </w:r>
    </w:p>
    <w:p>
      <w:r>
        <w:rPr>
          <w:b/>
        </w:rPr>
        <w:t>8. Intereses de mora</w:t>
      </w:r>
    </w:p>
    <w:p>
      <w:r>
        <w:rPr>
          <w:b w:val="0"/>
        </w:rPr>
        <w:t>Tasa: [una y media veces el interés bancario corriente certificado por la Superintendencia Financiera para cada mes / la tasa inferior aprobada por la asamblea del [fecha]].</w:t>
      </w:r>
    </w:p>
    <w:p>
      <w:r>
        <w:rPr>
          <w:b w:val="0"/>
        </w:rPr>
        <w:t>El contador(a) actualiza la tasa cada mes y la liquida sobre la cuota vencida y no pagada, desde el día siguiente a la fecha límite.</w:t>
      </w:r>
    </w:p>
    <w:p>
      <w:r>
        <w:rPr>
          <w:b/>
        </w:rPr>
        <w:t>9. Registro de cada contacto</w:t>
      </w:r>
    </w:p>
    <w:p>
      <w:r>
        <w:rPr>
          <w:b w:val="0"/>
        </w:rPr>
        <w:t>Cada recordatorio, carta, llamada, respuesta, compromiso y pago se anota el mismo día en la bitácora de la unidad: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Fecha y hora</w:t>
            </w:r>
          </w:p>
        </w:tc>
        <w:tc>
          <w:tcPr>
            <w:tcW w:type="dxa" w:w="1234"/>
          </w:tcPr>
          <w:p>
            <w:r>
              <w:rPr>
                <w:b/>
              </w:rPr>
              <w:t>Unidad</w:t>
            </w:r>
          </w:p>
        </w:tc>
        <w:tc>
          <w:tcPr>
            <w:tcW w:type="dxa" w:w="1234"/>
          </w:tcPr>
          <w:p>
            <w:r>
              <w:rPr>
                <w:b/>
              </w:rPr>
              <w:t>Canal</w:t>
            </w:r>
          </w:p>
        </w:tc>
        <w:tc>
          <w:tcPr>
            <w:tcW w:type="dxa" w:w="1234"/>
          </w:tcPr>
          <w:p>
            <w:r>
              <w:rPr>
                <w:b/>
              </w:rPr>
              <w:t>Quién contactó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Resultado</w:t>
            </w:r>
          </w:p>
        </w:tc>
        <w:tc>
          <w:tcPr>
            <w:tcW w:type="dxa" w:w="1234"/>
          </w:tcPr>
          <w:p>
            <w:r>
              <w:rPr>
                <w:b/>
              </w:rPr>
              <w:t>Compromiso y fecha</w:t>
            </w:r>
          </w:p>
        </w:tc>
        <w:tc>
          <w:tcPr>
            <w:tcW w:type="dxa" w:w="1234"/>
          </w:tcPr>
          <w:p>
            <w:r>
              <w:rPr>
                <w:b/>
              </w:rPr>
              <w:t>Siguiente paso</w:t>
            </w:r>
          </w:p>
        </w:tc>
      </w:tr>
      <w:tr>
        <w:tc>
          <w:tcPr>
            <w:tcW w:type="dxa" w:w="1234"/>
          </w:tcPr>
          <w:p>
            <w:r>
              <w:t>[fecha hora]</w:t>
            </w:r>
          </w:p>
        </w:tc>
        <w:tc>
          <w:tcPr>
            <w:tcW w:type="dxa" w:w="1234"/>
          </w:tcPr>
          <w:p>
            <w:r>
              <w:t>[número]</w:t>
            </w:r>
          </w:p>
        </w:tc>
        <w:tc>
          <w:tcPr>
            <w:tcW w:type="dxa" w:w="1234"/>
          </w:tcPr>
          <w:p>
            <w:r>
              <w:t>[correo / WhatsApp / carta]</w:t>
            </w:r>
          </w:p>
        </w:tc>
        <w:tc>
          <w:tcPr>
            <w:tcW w:type="dxa" w:w="1234"/>
          </w:tcPr>
          <w:p>
            <w:r>
              <w:t>[nombre]</w:t>
            </w:r>
          </w:p>
        </w:tc>
        <w:tc>
          <w:tcPr>
            <w:tcW w:type="dxa" w:w="1234"/>
          </w:tcPr>
          <w:p>
            <w:r>
              <w:t>[sin respuesta / respondió / pagó]</w:t>
            </w:r>
          </w:p>
        </w:tc>
        <w:tc>
          <w:tcPr>
            <w:tcW w:type="dxa" w:w="1234"/>
          </w:tcPr>
          <w:p>
            <w:r>
              <w:t>[valor y fecha]</w:t>
            </w:r>
          </w:p>
        </w:tc>
        <w:tc>
          <w:tcPr>
            <w:tcW w:type="dxa" w:w="1234"/>
          </w:tcPr>
          <w:p>
            <w:r>
              <w:t>[qué y cuándo]</w:t>
            </w:r>
          </w:p>
        </w:tc>
      </w:tr>
    </w:tbl>
    <w:p/>
    <w:p>
      <w:r>
        <w:rPr>
          <w:b/>
        </w:rPr>
        <w:t>10. Informe de cartera</w:t>
      </w:r>
    </w:p>
    <w:p>
      <w:r>
        <w:rPr>
          <w:b w:val="0"/>
        </w:rPr>
        <w:t>El [primer martes] de cada mes la administración presenta al consejo la cartera por edades (al día, 1-30, 31-60, 61-90 y más de 90 días), los acuerdos vigentes y las unidades en cada etapa. A la asamblea ordinaria se presenta el resumen del año.</w:t>
      </w:r>
    </w:p>
    <w:p>
      <w:r>
        <w:rPr>
          <w:b/>
        </w:rPr>
        <w:t>11. Revisión</w:t>
      </w:r>
    </w:p>
    <w:p>
      <w:r>
        <w:rPr>
          <w:b w:val="0"/>
        </w:rPr>
        <w:t>Este manual se revisa cada [año] o cuando cambie el reglamento. Responsable: [nombre y cargo].</w:t>
      </w:r>
    </w:p>
    <w:p/>
    <w:p>
      <w:r>
        <w:rPr>
          <w:b w:val="0"/>
        </w:rPr>
        <w:t>Aprobó: _______________________________   [Nombre y cargo]   [Fecha y acta]</w:t>
      </w:r>
    </w:p>
    <w:p/>
    <w:p>
      <w:r>
        <w:rPr>
          <w:i/>
          <w:color w:val="6B7A79"/>
          <w:sz w:val="18"/>
        </w:rPr>
        <w:t>Cambia todo lo que está entre corchetes y borra esta nota antes de mandarlo. Ajusta los días, los porcentajes y los responsables a tu copropiedad. Las normas citadas se leyeron en la Secretaría del Senado el 13-oct-2026: Ley 675 de 2001, artículos 30 y 48, y Ley 2300 de 2023, artículos 2, 3, 4, 6 y 7. Si tu reglamento fija otra cosa dentro de la ley, ése manda. Formato de makatea.ai/formatos/manual-de-cobro-de-cartera.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